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69C" w:rsidRPr="00DC7728" w:rsidRDefault="00B2669C" w:rsidP="00DC77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</w:pP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Орієнтовний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початок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проведення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процедури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закупівлі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– </w:t>
      </w:r>
      <w:proofErr w:type="gramStart"/>
      <w:r w:rsidR="006163F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ВЕРЕСЕНЬ</w:t>
      </w:r>
      <w:r w:rsidR="007A660F" w:rsidRPr="00DC772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 xml:space="preserve"> </w:t>
      </w:r>
      <w:r w:rsidRPr="00DC772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 xml:space="preserve"> 202</w:t>
      </w:r>
      <w:r w:rsidR="00EB5AE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6</w:t>
      </w:r>
      <w:proofErr w:type="gramEnd"/>
    </w:p>
    <w:p w:rsidR="000E2148" w:rsidRPr="00DC7728" w:rsidRDefault="00BD3679" w:rsidP="00DC7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ОБҐРУНТУВАННЯ</w:t>
      </w:r>
    </w:p>
    <w:p w:rsidR="00BD3679" w:rsidRPr="00DC7728" w:rsidRDefault="000E2148" w:rsidP="00DC7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МЕДИКО-ТЕХНІЧНИХ</w:t>
      </w:r>
      <w:r w:rsidR="00213167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 w:rsidR="00BD3679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ЯКІСНИХ </w:t>
      </w: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ТА КІЛЬКІСНИХ </w:t>
      </w:r>
      <w:r w:rsidR="00BD3679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ХАРАКТЕРИСТИК ПРЕДМЕТА ЗАКУПІВЛІ, РОЗМІРУ БЮДЖЕТНОГО ПРИЗНАЧЕННЯ, ОЧІКУВАНОЇ ВАРТОСТІ ПРЕДМЕТА ЗАКУПІВЛІ</w:t>
      </w:r>
    </w:p>
    <w:p w:rsidR="00764342" w:rsidRPr="00DC7728" w:rsidRDefault="00764342" w:rsidP="00DC77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C77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НАЗВА ПРЕДМЕТА ЗАКУПІВЛІ ІЗ ЗАЗНАЧЕННЯМ КОДУ ЗА ЄДИНИМ ЗАКУПІВЕЛЬНИМ СЛОВНИКОМ: </w:t>
      </w:r>
    </w:p>
    <w:p w:rsidR="006163F0" w:rsidRPr="006163F0" w:rsidRDefault="006163F0" w:rsidP="006163F0">
      <w:pPr>
        <w:pStyle w:val="3"/>
        <w:shd w:val="clear" w:color="auto" w:fill="F5F5F5"/>
        <w:spacing w:before="0"/>
        <w:rPr>
          <w:rFonts w:ascii="Times New Roman" w:hAnsi="Times New Roman" w:cs="Times New Roman"/>
          <w:color w:val="242638"/>
        </w:rPr>
      </w:pPr>
      <w:r w:rsidRPr="006163F0">
        <w:rPr>
          <w:rFonts w:ascii="Times New Roman" w:hAnsi="Times New Roman" w:cs="Times New Roman"/>
          <w:color w:val="242638"/>
        </w:rPr>
        <w:t xml:space="preserve">ДК 021:2015: 33110000-4 </w:t>
      </w:r>
      <w:proofErr w:type="spellStart"/>
      <w:r w:rsidRPr="006163F0">
        <w:rPr>
          <w:rFonts w:ascii="Times New Roman" w:hAnsi="Times New Roman" w:cs="Times New Roman"/>
          <w:color w:val="242638"/>
        </w:rPr>
        <w:t>Візуалізаційне</w:t>
      </w:r>
      <w:proofErr w:type="spellEnd"/>
      <w:r w:rsidRPr="006163F0">
        <w:rPr>
          <w:rFonts w:ascii="Times New Roman" w:hAnsi="Times New Roman" w:cs="Times New Roman"/>
          <w:color w:val="242638"/>
        </w:rPr>
        <w:t xml:space="preserve"> обладнання для потреб медицини, стоматології та ветеринарної медицини (код ДК 021:2015: 33111800-9 Рентгенодіагностичні системи) (Рентгенівська флюороскопічна система типу С-дуга (код НК 024:2023 – 37646 – «Система флюороскопічна рентгенівська загального призначення пересувна цифрова»; код НК 031:2024 - Z11039017 – «Мобільне устатк</w:t>
      </w:r>
      <w:r w:rsidR="00B75495">
        <w:rPr>
          <w:rFonts w:ascii="Times New Roman" w:hAnsi="Times New Roman" w:cs="Times New Roman"/>
          <w:color w:val="242638"/>
        </w:rPr>
        <w:t>у</w:t>
      </w:r>
      <w:r w:rsidRPr="006163F0">
        <w:rPr>
          <w:rFonts w:ascii="Times New Roman" w:hAnsi="Times New Roman" w:cs="Times New Roman"/>
          <w:color w:val="242638"/>
        </w:rPr>
        <w:t>вання для радіоскопії»)</w:t>
      </w:r>
    </w:p>
    <w:p w:rsidR="00DC7728" w:rsidRPr="006163F0" w:rsidRDefault="006163F0" w:rsidP="006163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Закупівля здійснюється в рамках виконання заходів Плану України, що схвалений для реалізації фінансування Європейського Союзу для України згідно з інструментом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Ukraine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Facility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, передбаченого Рамковою Угодою укладеною між Україн</w:t>
      </w:r>
      <w:bookmarkStart w:id="0" w:name="_GoBack"/>
      <w:bookmarkEnd w:id="0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ою та Європейським Союзом щодо спеціальних механізмів реалізації фінансування Союзу для України згідно з інструментом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Ukraine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Facility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, ратифікованою Законом України від 06.06.2024 № 3786-IX. Зміст висвітленої інформації не обов’язково відображає позицію Європейського Союзу</w:t>
      </w:r>
    </w:p>
    <w:p w:rsidR="006163F0" w:rsidRPr="006163F0" w:rsidRDefault="006163F0" w:rsidP="006163F0">
      <w:pPr>
        <w:pStyle w:val="6"/>
        <w:shd w:val="clear" w:color="auto" w:fill="FFFFFF"/>
        <w:spacing w:before="0"/>
        <w:rPr>
          <w:rFonts w:ascii="Arial" w:hAnsi="Arial" w:cs="Arial"/>
          <w:i/>
          <w:color w:val="242638"/>
          <w:lang w:val="ru-RU"/>
        </w:rPr>
      </w:pPr>
      <w:r w:rsidRPr="006163F0">
        <w:rPr>
          <w:rStyle w:val="pz-key-valuetitle-box"/>
          <w:rFonts w:ascii="Arial" w:hAnsi="Arial" w:cs="Arial"/>
          <w:i/>
          <w:color w:val="242638"/>
          <w:shd w:val="clear" w:color="auto" w:fill="FFFFFF"/>
        </w:rPr>
        <w:t>План України:</w:t>
      </w:r>
    </w:p>
    <w:p w:rsidR="006163F0" w:rsidRPr="006163F0" w:rsidRDefault="006163F0" w:rsidP="00F82954">
      <w:pPr>
        <w:shd w:val="clear" w:color="auto" w:fill="FFFFFF"/>
        <w:spacing w:after="0"/>
        <w:rPr>
          <w:rFonts w:ascii="Arial" w:hAnsi="Arial" w:cs="Arial"/>
          <w:i/>
          <w:color w:val="242638"/>
          <w:sz w:val="21"/>
          <w:szCs w:val="21"/>
        </w:rPr>
      </w:pPr>
      <w:r w:rsidRPr="006163F0">
        <w:rPr>
          <w:rFonts w:ascii="Arial" w:hAnsi="Arial" w:cs="Arial"/>
          <w:i/>
          <w:color w:val="242638"/>
          <w:sz w:val="21"/>
          <w:szCs w:val="21"/>
        </w:rPr>
        <w:t>7.15. Створення (капітальний ремонт приміщень, реконструкція тощо) належних умов перебування в закладах охорони здоров`я з метою підвищення якості надання медичних послуг</w:t>
      </w:r>
    </w:p>
    <w:p w:rsidR="00F82954" w:rsidRDefault="00F82954" w:rsidP="00F82954">
      <w:pPr>
        <w:pStyle w:val="a7"/>
        <w:spacing w:before="0" w:beforeAutospacing="0" w:after="0" w:afterAutospacing="0"/>
        <w:jc w:val="both"/>
        <w:rPr>
          <w:b/>
          <w:lang w:val="ru-RU"/>
        </w:rPr>
      </w:pPr>
      <w:r>
        <w:rPr>
          <w:b/>
          <w:lang w:val="ru-RU"/>
        </w:rPr>
        <w:t xml:space="preserve">ОБҐРУНТУВАННЯ ОЧІКУВАНОЇ ЦІНИ ЗАКУПІВЛІ/БЮДЖЕТНОГО ПРИЗНАЧЕННЯ. </w:t>
      </w:r>
    </w:p>
    <w:p w:rsidR="00F82954" w:rsidRDefault="00F82954" w:rsidP="00F82954">
      <w:pPr>
        <w:pStyle w:val="contract"/>
      </w:pPr>
      <w:proofErr w:type="spellStart"/>
      <w:r>
        <w:rPr>
          <w:b/>
          <w:bCs/>
        </w:rPr>
        <w:t>Очікувана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вартість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визначається</w:t>
      </w:r>
      <w:proofErr w:type="spellEnd"/>
      <w:r>
        <w:rPr>
          <w:b/>
          <w:bCs/>
        </w:rPr>
        <w:t xml:space="preserve"> на </w:t>
      </w:r>
      <w:proofErr w:type="spellStart"/>
      <w:r>
        <w:rPr>
          <w:b/>
          <w:bCs/>
        </w:rPr>
        <w:t>основі</w:t>
      </w:r>
      <w:proofErr w:type="spellEnd"/>
      <w:r>
        <w:rPr>
          <w:b/>
          <w:bCs/>
        </w:rPr>
        <w:t xml:space="preserve"> чинного </w:t>
      </w:r>
      <w:proofErr w:type="spellStart"/>
      <w:r>
        <w:rPr>
          <w:b/>
          <w:bCs/>
        </w:rPr>
        <w:t>законодавства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України</w:t>
      </w:r>
      <w:proofErr w:type="spellEnd"/>
      <w:r>
        <w:rPr>
          <w:b/>
          <w:bCs/>
        </w:rPr>
        <w:t xml:space="preserve">: </w:t>
      </w:r>
      <w:r>
        <w:t xml:space="preserve">При обрахунку очікуваної вартості було проведено моніторинг цін у відкритих джерелах на аналогічні товари, а також за запитом Комерційних </w:t>
      </w:r>
      <w:proofErr w:type="spellStart"/>
      <w:r>
        <w:t>пропозицій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ринку, </w:t>
      </w:r>
      <w:proofErr w:type="spellStart"/>
      <w:r>
        <w:t>отримані</w:t>
      </w:r>
      <w:proofErr w:type="spellEnd"/>
      <w:r>
        <w:t xml:space="preserve"> </w:t>
      </w:r>
      <w:proofErr w:type="spellStart"/>
      <w:r>
        <w:t>пропозиції</w:t>
      </w:r>
      <w:proofErr w:type="spellEnd"/>
      <w:r>
        <w:t xml:space="preserve"> </w:t>
      </w:r>
      <w:proofErr w:type="spellStart"/>
      <w:r>
        <w:t>постачальників</w:t>
      </w:r>
      <w:proofErr w:type="spellEnd"/>
    </w:p>
    <w:p w:rsidR="00F82954" w:rsidRDefault="00F82954" w:rsidP="00F829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ОЧІКУВАНА ВАРТІСТЬ 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14041,5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тис.грн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без ПДВ</w:t>
      </w:r>
    </w:p>
    <w:p w:rsidR="00F82954" w:rsidRDefault="00F82954" w:rsidP="00F8295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954">
        <w:rPr>
          <w:rFonts w:ascii="Times New Roman" w:hAnsi="Times New Roman" w:cs="Times New Roman"/>
          <w:b/>
          <w:sz w:val="24"/>
          <w:szCs w:val="24"/>
        </w:rPr>
        <w:t xml:space="preserve">Очікувану вартість закупівлі визначено на підставі отриманих комерційних пропозицій від потенційних постачальників та за результатами моніторингу цін на аналогічне медичне обладнання в проведених </w:t>
      </w:r>
      <w:proofErr w:type="spellStart"/>
      <w:r w:rsidRPr="00F82954">
        <w:rPr>
          <w:rFonts w:ascii="Times New Roman" w:hAnsi="Times New Roman" w:cs="Times New Roman"/>
          <w:b/>
          <w:sz w:val="24"/>
          <w:szCs w:val="24"/>
        </w:rPr>
        <w:t>закупівлях</w:t>
      </w:r>
      <w:proofErr w:type="spellEnd"/>
      <w:r w:rsidRPr="00F82954">
        <w:rPr>
          <w:rFonts w:ascii="Times New Roman" w:hAnsi="Times New Roman" w:cs="Times New Roman"/>
          <w:b/>
          <w:sz w:val="24"/>
          <w:szCs w:val="24"/>
        </w:rPr>
        <w:t>. При визначенні очікуваної вартості враховано технічні та функціональні характеристики рентгенівської флюороскопічної системи типу С-дуга, необхідність її використання для проведення спеціалізованих оперативних втручань, а також особливості та потреби діяльності Інституту.</w:t>
      </w:r>
    </w:p>
    <w:p w:rsidR="004B0B55" w:rsidRPr="004B0B55" w:rsidRDefault="004B0B55" w:rsidP="00F829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318F7" w:rsidRPr="005318F7" w:rsidRDefault="00F82954" w:rsidP="00F82954">
      <w:pPr>
        <w:pStyle w:val="24"/>
        <w:shd w:val="clear" w:color="auto" w:fill="auto"/>
        <w:spacing w:after="0" w:line="240" w:lineRule="auto"/>
        <w:ind w:firstLine="76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8F7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ОБҐРУНТУВАННЯ ДО ПРОВЕДЕННЯ ЗАКУПІВЕЛЬ ОБЛАДНАННЯ ДЛЯ ПРОВЕДЕННЯ ВИСОКОСПЕЦІАЛІЗОВАНИХ ОПЕРАТИВНИХ ВТРУЧАНЬ. </w:t>
      </w:r>
    </w:p>
    <w:p w:rsidR="00DC7728" w:rsidRPr="005318F7" w:rsidRDefault="005318F7" w:rsidP="00F82954">
      <w:pPr>
        <w:pStyle w:val="24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8F7">
        <w:rPr>
          <w:rFonts w:ascii="Times New Roman" w:hAnsi="Times New Roman" w:cs="Times New Roman"/>
          <w:b/>
          <w:sz w:val="24"/>
          <w:szCs w:val="24"/>
          <w:lang w:val="uk-UA"/>
        </w:rPr>
        <w:t>(</w:t>
      </w:r>
      <w:proofErr w:type="spellStart"/>
      <w:r w:rsidR="006163F0" w:rsidRPr="006163F0">
        <w:rPr>
          <w:rFonts w:ascii="Times New Roman" w:hAnsi="Times New Roman" w:cs="Times New Roman"/>
          <w:color w:val="242638"/>
          <w:sz w:val="24"/>
          <w:szCs w:val="24"/>
          <w:lang w:val="ru-RU"/>
        </w:rPr>
        <w:t>Рентгенівська</w:t>
      </w:r>
      <w:proofErr w:type="spellEnd"/>
      <w:r w:rsidR="006163F0" w:rsidRPr="006163F0">
        <w:rPr>
          <w:rFonts w:ascii="Times New Roman" w:hAnsi="Times New Roman" w:cs="Times New Roman"/>
          <w:color w:val="242638"/>
          <w:sz w:val="24"/>
          <w:szCs w:val="24"/>
          <w:lang w:val="ru-RU"/>
        </w:rPr>
        <w:t xml:space="preserve"> </w:t>
      </w:r>
      <w:proofErr w:type="spellStart"/>
      <w:r w:rsidR="006163F0" w:rsidRPr="006163F0">
        <w:rPr>
          <w:rFonts w:ascii="Times New Roman" w:hAnsi="Times New Roman" w:cs="Times New Roman"/>
          <w:color w:val="242638"/>
          <w:sz w:val="24"/>
          <w:szCs w:val="24"/>
          <w:lang w:val="ru-RU"/>
        </w:rPr>
        <w:t>флюороскопічна</w:t>
      </w:r>
      <w:proofErr w:type="spellEnd"/>
      <w:r w:rsidR="006163F0" w:rsidRPr="006163F0">
        <w:rPr>
          <w:rFonts w:ascii="Times New Roman" w:hAnsi="Times New Roman" w:cs="Times New Roman"/>
          <w:color w:val="242638"/>
          <w:sz w:val="24"/>
          <w:szCs w:val="24"/>
          <w:lang w:val="ru-RU"/>
        </w:rPr>
        <w:t xml:space="preserve"> система типу С-дуга</w:t>
      </w:r>
      <w:r w:rsidRPr="005318F7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</w:p>
    <w:p w:rsidR="00EB5AE2" w:rsidRDefault="00EB5AE2" w:rsidP="00F82954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B5AE2">
        <w:rPr>
          <w:rFonts w:ascii="Times New Roman" w:hAnsi="Times New Roman" w:cs="Times New Roman"/>
          <w:sz w:val="24"/>
          <w:szCs w:val="24"/>
        </w:rPr>
        <w:t>ДУ «Національний інститут травматології та ортопедії НАМН України» є провідною науково-дослідною установою МОЗ та НАМН України, що виконує високоспеціалізовані оперативні втручання.</w:t>
      </w:r>
    </w:p>
    <w:p w:rsidR="00F82954" w:rsidRPr="00F82954" w:rsidRDefault="00F82954" w:rsidP="00F82954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82954">
        <w:rPr>
          <w:rFonts w:ascii="Times New Roman" w:hAnsi="Times New Roman" w:cs="Times New Roman"/>
          <w:sz w:val="24"/>
          <w:szCs w:val="24"/>
        </w:rPr>
        <w:t xml:space="preserve">Рентгенівська флюороскопічна система типу С-дуга призначена для виконання </w:t>
      </w:r>
      <w:proofErr w:type="spellStart"/>
      <w:r w:rsidRPr="00F82954">
        <w:rPr>
          <w:rFonts w:ascii="Times New Roman" w:hAnsi="Times New Roman" w:cs="Times New Roman"/>
          <w:sz w:val="24"/>
          <w:szCs w:val="24"/>
        </w:rPr>
        <w:t>інтраопераційного</w:t>
      </w:r>
      <w:proofErr w:type="spellEnd"/>
      <w:r w:rsidRPr="00F82954">
        <w:rPr>
          <w:rFonts w:ascii="Times New Roman" w:hAnsi="Times New Roman" w:cs="Times New Roman"/>
          <w:sz w:val="24"/>
          <w:szCs w:val="24"/>
        </w:rPr>
        <w:t xml:space="preserve"> рентгенологічного контролю під час хірургічних втручань. Обладнання використовується для візуалізації кісткових структур, контролю положення та репозиції уламків, правильності встановлення металоконструкцій, імплантів та інших медичних виробів безпосередньо під час операції. Закупівля С-дуги необхідна для підвищення точності та безпеки оперативних втручань і забезпечення належної якості медичної допомоги.</w:t>
      </w:r>
    </w:p>
    <w:p w:rsidR="006163F0" w:rsidRDefault="006163F0" w:rsidP="00F82954">
      <w:pPr>
        <w:pStyle w:val="a7"/>
        <w:spacing w:before="0" w:beforeAutospacing="0" w:after="0" w:afterAutospacing="0"/>
        <w:ind w:firstLine="283"/>
        <w:jc w:val="both"/>
        <w:rPr>
          <w:b/>
          <w:lang w:val="ru-RU"/>
        </w:rPr>
      </w:pPr>
      <w:r w:rsidRPr="006163F0">
        <w:rPr>
          <w:lang w:val="uk-UA"/>
        </w:rPr>
        <w:t xml:space="preserve">Закупівля рентгенівської флюороскопічної системи типу С-дуга необхідна для забезпечення проведення оперативних втручань із використанням рентгенологічного контролю, зокрема травматологічних, ортопедичних та реконструктивних операцій. </w:t>
      </w:r>
      <w:proofErr w:type="spellStart"/>
      <w:r w:rsidRPr="006163F0">
        <w:rPr>
          <w:lang w:val="ru-RU"/>
        </w:rPr>
        <w:t>Придбання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обладнання</w:t>
      </w:r>
      <w:proofErr w:type="spellEnd"/>
      <w:r w:rsidRPr="006163F0">
        <w:rPr>
          <w:lang w:val="ru-RU"/>
        </w:rPr>
        <w:t xml:space="preserve"> дозволить </w:t>
      </w:r>
      <w:proofErr w:type="spellStart"/>
      <w:r w:rsidRPr="006163F0">
        <w:rPr>
          <w:lang w:val="ru-RU"/>
        </w:rPr>
        <w:t>забезпечити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своєчасний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інтраопераційний</w:t>
      </w:r>
      <w:proofErr w:type="spellEnd"/>
      <w:r w:rsidRPr="006163F0">
        <w:rPr>
          <w:lang w:val="ru-RU"/>
        </w:rPr>
        <w:t xml:space="preserve"> контроль, </w:t>
      </w:r>
      <w:proofErr w:type="spellStart"/>
      <w:r w:rsidRPr="006163F0">
        <w:rPr>
          <w:lang w:val="ru-RU"/>
        </w:rPr>
        <w:t>підвищити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точність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виконання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оперативних</w:t>
      </w:r>
      <w:proofErr w:type="spellEnd"/>
      <w:r w:rsidRPr="006163F0">
        <w:rPr>
          <w:lang w:val="ru-RU"/>
        </w:rPr>
        <w:t xml:space="preserve"> втручань та </w:t>
      </w:r>
      <w:proofErr w:type="spellStart"/>
      <w:r w:rsidRPr="006163F0">
        <w:rPr>
          <w:lang w:val="ru-RU"/>
        </w:rPr>
        <w:t>якість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надання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медичної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допомоги</w:t>
      </w:r>
      <w:proofErr w:type="spellEnd"/>
      <w:r w:rsidRPr="006163F0">
        <w:rPr>
          <w:lang w:val="ru-RU"/>
        </w:rPr>
        <w:t xml:space="preserve"> </w:t>
      </w:r>
      <w:proofErr w:type="spellStart"/>
      <w:r w:rsidRPr="006163F0">
        <w:rPr>
          <w:lang w:val="ru-RU"/>
        </w:rPr>
        <w:t>пацієнтам</w:t>
      </w:r>
      <w:proofErr w:type="spellEnd"/>
      <w:r w:rsidRPr="006163F0">
        <w:rPr>
          <w:lang w:val="ru-RU"/>
        </w:rPr>
        <w:t>.</w:t>
      </w:r>
      <w:r w:rsidRPr="00DC7728">
        <w:rPr>
          <w:b/>
          <w:lang w:val="ru-RU"/>
        </w:rPr>
        <w:t xml:space="preserve"> </w:t>
      </w:r>
    </w:p>
    <w:p w:rsidR="00764342" w:rsidRDefault="00802D2F" w:rsidP="00F82954">
      <w:pPr>
        <w:pStyle w:val="a7"/>
        <w:spacing w:before="0" w:beforeAutospacing="0" w:after="0" w:afterAutospacing="0"/>
        <w:jc w:val="both"/>
        <w:rPr>
          <w:lang w:val="uk-UA"/>
        </w:rPr>
      </w:pPr>
      <w:r w:rsidRPr="00DC7728">
        <w:rPr>
          <w:lang w:val="uk-UA"/>
        </w:rPr>
        <w:t>.</w:t>
      </w:r>
    </w:p>
    <w:p w:rsidR="00B155B4" w:rsidRDefault="00B155B4" w:rsidP="001A14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3F0" w:rsidRDefault="006163F0" w:rsidP="006163F0">
      <w:pPr>
        <w:autoSpaceDN w:val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ЗАГАЛЬНІ ВИМОГИ*</w:t>
      </w:r>
    </w:p>
    <w:p w:rsidR="006163F0" w:rsidRDefault="006163F0" w:rsidP="006163F0">
      <w:pPr>
        <w:autoSpaceDN w:val="0"/>
        <w:ind w:firstLine="432"/>
        <w:jc w:val="both"/>
        <w:rPr>
          <w:rFonts w:ascii="Times New Roman" w:eastAsia="Calibri" w:hAnsi="Times New Roman" w:cs="Calibri"/>
          <w:b/>
          <w:bCs/>
          <w:i/>
          <w:iCs/>
          <w:lang w:eastAsia="hi-IN" w:bidi="hi-IN"/>
        </w:rPr>
      </w:pPr>
      <w:r>
        <w:rPr>
          <w:rFonts w:ascii="Times New Roman" w:hAnsi="Times New Roman"/>
          <w:b/>
          <w:bCs/>
          <w:i/>
          <w:iCs/>
        </w:rPr>
        <w:t>Учасники процедури закупівлі повинні надати в складі тендерної пропозицій документи, які підтверджують відповідність пропозиції учасника технічним, якісним, кількісним та іншим вимогам до предмета закупівлі, а саме: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Довідка в довільній формі з відомостями про товаровиробника та країну походження.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Товар, запропонований Учасником, повинен бути внесений до Державного реєстру медичної техніки та/або введений в обіг відповідно до законодавства у сфері технічного регулювання та оцінки відповідності, у передбаченому законодавством порядку. На підтвердження Учасник повинен надати: завірену копію декларації або копію документів, що підтверджують можливість  введення в обіг та/або експлуатацію (застосування) медичного обладнання за результатами проходження процедури оцінки відповідності згідно вимог технічного регламенту.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iCs/>
          <w:sz w:val="24"/>
          <w:szCs w:val="24"/>
          <w:lang w:eastAsia="uk-UA"/>
        </w:rPr>
        <w:t>Відповідність технічних характеристик запропонованого Учасником предмету закупівлі Медико - технічним вимогам повинна бути обов’язково підтверджена посиланням на відповідні розділи та/або сторінку(и) технічних документів виробника (експлуатаційної документації: настанови з експлуатації, та/або інструкції, та/або технічного опису чи технічних умов, та/або ін. документів українською мовою, тощо), в яких міститься ця інформація, разом з додаванням відповідних документів. Підтвердження медико-технічним вимогам надається у формі заповненої таблиці, наведеної вище.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uk-UA"/>
        </w:rPr>
        <w:t xml:space="preserve">Гарантійний термін експлуатації повинен бути не менше 12 місяців з моменту його поставки та включати гарантійний ремонт (надати гарантійний лист). 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iCs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Постгарантійне</w:t>
      </w:r>
      <w:proofErr w:type="spellEnd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обслуговування має </w:t>
      </w:r>
      <w:proofErr w:type="spellStart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здійснюватись</w:t>
      </w:r>
      <w:proofErr w:type="spellEnd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протягом 5 років, з моменту закінчення гарантійного терміну експлуатації - технічними спеціалістами безпосередньо на об'єкті Замовника, де встановлено обладнання, а за неможливості виконати необхідні роботи безпосередньо на об'єкті – у сервісному центрі за адресою: ВКАЗАТИ НАЗВУ ТА АДРЕСУ СЕРВІСНОГО ЦЕНТРА, ЯКИЙ МАЄ ДОЗВОЛИ ТА ЛІЦЕНЦІЇ НА ЗДІЙСНЕННЯ ТАКОГО ОБСЛУГОВУВАННЯ </w:t>
      </w:r>
      <w:r>
        <w:rPr>
          <w:rFonts w:ascii="Times New Roman" w:hAnsi="Times New Roman" w:cs="Times New Roman"/>
          <w:iCs/>
          <w:sz w:val="24"/>
          <w:szCs w:val="24"/>
          <w:lang w:eastAsia="uk-UA"/>
        </w:rPr>
        <w:t>(надати гарантійний лист).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iCs/>
          <w:sz w:val="24"/>
          <w:szCs w:val="24"/>
          <w:lang w:eastAsia="uk-UA"/>
        </w:rPr>
        <w:t>Товар, що пропонується повинен бути новим не раніше 2025 року випуску, а також таким, що не використовувався в якості демонстраційного зразка (надати гарантійний лист).</w:t>
      </w:r>
    </w:p>
    <w:p w:rsidR="006163F0" w:rsidRPr="006163F0" w:rsidRDefault="006163F0" w:rsidP="006163F0">
      <w:pPr>
        <w:pStyle w:val="a5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  <w:lang w:eastAsia="hi-IN" w:bidi="hi-IN"/>
        </w:rPr>
      </w:pPr>
      <w:r w:rsidRPr="006163F0">
        <w:rPr>
          <w:rFonts w:ascii="Times New Roman" w:hAnsi="Times New Roman"/>
          <w:iCs/>
          <w:lang w:eastAsia="hi-IN" w:bidi="hi-IN"/>
        </w:rPr>
        <w:t>З метою запобігання закупівлі фальсифікатів та на підтвердження своєчасного постачання товару у кількості, якості та зі строками придатності, Учасник повинен надати оригінал гарантійного листа Виробника або офіційного представника в Україні (</w:t>
      </w:r>
      <w:proofErr w:type="spellStart"/>
      <w:r w:rsidRPr="006163F0">
        <w:rPr>
          <w:rFonts w:ascii="Times New Roman" w:hAnsi="Times New Roman"/>
          <w:iCs/>
          <w:lang w:eastAsia="hi-IN" w:bidi="hi-IN"/>
        </w:rPr>
        <w:t>диллера</w:t>
      </w:r>
      <w:proofErr w:type="spellEnd"/>
      <w:r w:rsidRPr="006163F0">
        <w:rPr>
          <w:rFonts w:ascii="Times New Roman" w:hAnsi="Times New Roman"/>
          <w:iCs/>
          <w:lang w:eastAsia="hi-IN" w:bidi="hi-IN"/>
        </w:rPr>
        <w:t xml:space="preserve">, </w:t>
      </w:r>
      <w:proofErr w:type="spellStart"/>
      <w:r w:rsidRPr="006163F0">
        <w:rPr>
          <w:rFonts w:ascii="Times New Roman" w:hAnsi="Times New Roman"/>
          <w:iCs/>
          <w:lang w:eastAsia="hi-IN" w:bidi="hi-IN"/>
        </w:rPr>
        <w:t>дистрибютора</w:t>
      </w:r>
      <w:proofErr w:type="spellEnd"/>
      <w:r w:rsidRPr="006163F0">
        <w:rPr>
          <w:rFonts w:ascii="Times New Roman" w:hAnsi="Times New Roman"/>
          <w:iCs/>
          <w:lang w:eastAsia="hi-IN" w:bidi="hi-IN"/>
        </w:rPr>
        <w:t xml:space="preserve"> тощо), яким підтверджується можливість поставки предмета закупівлі, у кількості, якості (вказати торгову марку та виробника) та в терміни, визначеними цією тендерною документацію та тендерною пропозицією учасника торгів. Гарантійний лист щодо підтвердження повинен містити назву замовника, номер оголошення та кількість товару.</w:t>
      </w:r>
    </w:p>
    <w:p w:rsidR="006163F0" w:rsidRP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iCs/>
          <w:sz w:val="24"/>
          <w:szCs w:val="24"/>
          <w:lang w:eastAsia="uk-UA" w:bidi="hi-IN"/>
        </w:rPr>
      </w:pPr>
      <w:r w:rsidRPr="006163F0">
        <w:rPr>
          <w:rFonts w:ascii="Times New Roman" w:hAnsi="Times New Roman" w:cs="Times New Roman"/>
          <w:sz w:val="24"/>
          <w:szCs w:val="24"/>
        </w:rPr>
        <w:t xml:space="preserve">Доставка та інсталяція обладнання, навчання персоналу здійснюється за рахунок Учасника. </w:t>
      </w:r>
      <w:r w:rsidRPr="006163F0">
        <w:rPr>
          <w:rFonts w:ascii="Times New Roman" w:hAnsi="Times New Roman" w:cs="Times New Roman"/>
          <w:iCs/>
          <w:sz w:val="24"/>
          <w:szCs w:val="24"/>
          <w:lang w:eastAsia="uk-UA"/>
        </w:rPr>
        <w:t>(надати гарантійний лист).</w:t>
      </w:r>
    </w:p>
    <w:p w:rsidR="006163F0" w:rsidRDefault="006163F0" w:rsidP="006163F0">
      <w:pPr>
        <w:numPr>
          <w:ilvl w:val="0"/>
          <w:numId w:val="10"/>
        </w:numPr>
        <w:suppressAutoHyphens/>
        <w:spacing w:after="0" w:line="240" w:lineRule="auto"/>
        <w:ind w:left="0"/>
        <w:jc w:val="both"/>
        <w:rPr>
          <w:rFonts w:ascii="Times New Roman" w:eastAsia="Calibri" w:hAnsi="Times New Roman" w:cs="Calibri"/>
          <w:sz w:val="24"/>
          <w:szCs w:val="24"/>
          <w:lang w:eastAsia="hi-IN" w:bidi="hi-IN"/>
        </w:rPr>
      </w:pPr>
      <w:r>
        <w:rPr>
          <w:rFonts w:ascii="Times New Roman" w:hAnsi="Times New Roman"/>
          <w:sz w:val="24"/>
          <w:szCs w:val="24"/>
        </w:rPr>
        <w:t>Право провадження діяльності з використання джерел іонізуючого випромінювання, повинно підтверджуватись діючою Ліцензію на право провадження діяльності з використання джерел іонізуючого випромінювання з додатками (надати оригінал або скановану копію завірену учасником), у разі відсутності надати гарантійний лист, що зазначений документ буде надано під час поставки.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Calibri"/>
          <w:i/>
          <w:iCs/>
          <w:sz w:val="24"/>
          <w:szCs w:val="24"/>
          <w:lang w:eastAsia="hi-IN" w:bidi="hi-IN"/>
        </w:rPr>
      </w:pPr>
      <w:r>
        <w:rPr>
          <w:rFonts w:ascii="Times New Roman" w:hAnsi="Times New Roman"/>
          <w:sz w:val="24"/>
          <w:szCs w:val="24"/>
        </w:rPr>
        <w:t>В разі подачі еквіваленту товару, що запропонований Замовником в медико-технічних вимогах, Учасник подає порівняльну характеристику запропонованого ним товару та товару, що визначена в МТВ з відомостями щодо відповідності вимогам Замовника.</w:t>
      </w:r>
    </w:p>
    <w:p w:rsidR="00FA3694" w:rsidRDefault="00FA3694" w:rsidP="00DC7728">
      <w:pPr>
        <w:pStyle w:val="a7"/>
        <w:spacing w:before="0" w:beforeAutospacing="0" w:after="0" w:afterAutospacing="0"/>
        <w:jc w:val="both"/>
        <w:rPr>
          <w:lang w:val="uk-UA"/>
        </w:rPr>
      </w:pPr>
    </w:p>
    <w:p w:rsidR="00F82954" w:rsidRDefault="00F82954" w:rsidP="00DC7728">
      <w:pPr>
        <w:pStyle w:val="a7"/>
        <w:spacing w:before="0" w:beforeAutospacing="0" w:after="0" w:afterAutospacing="0"/>
        <w:jc w:val="both"/>
        <w:rPr>
          <w:lang w:val="uk-UA"/>
        </w:rPr>
      </w:pPr>
    </w:p>
    <w:p w:rsidR="00F82954" w:rsidRDefault="00F82954" w:rsidP="00DC7728">
      <w:pPr>
        <w:pStyle w:val="a7"/>
        <w:spacing w:before="0" w:beforeAutospacing="0" w:after="0" w:afterAutospacing="0"/>
        <w:jc w:val="both"/>
        <w:rPr>
          <w:lang w:val="uk-UA"/>
        </w:rPr>
      </w:pPr>
    </w:p>
    <w:p w:rsidR="00F82954" w:rsidRDefault="00F82954" w:rsidP="00DC7728">
      <w:pPr>
        <w:pStyle w:val="a7"/>
        <w:spacing w:before="0" w:beforeAutospacing="0" w:after="0" w:afterAutospacing="0"/>
        <w:jc w:val="both"/>
        <w:rPr>
          <w:lang w:val="uk-UA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ІНФОРМАЦІЯ ПРО НЕОБХІДНІ КІЛЬКІСНІ, ТЕХНІЧНІ ТА ЯКІСНІ ХАРАКТЕРИСТИКИ ПРЕДМЕТА ЗАКУПІВЛІ</w:t>
      </w: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567"/>
        <w:gridCol w:w="2218"/>
        <w:gridCol w:w="2693"/>
        <w:gridCol w:w="2163"/>
        <w:gridCol w:w="1716"/>
        <w:gridCol w:w="1275"/>
      </w:tblGrid>
      <w:tr w:rsidR="006163F0" w:rsidTr="006163F0">
        <w:trPr>
          <w:trHeight w:val="5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3F0" w:rsidRDefault="006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3F0" w:rsidRDefault="006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товару*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3F0" w:rsidRDefault="006163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Класифікато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меди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них</w:t>
            </w:r>
          </w:p>
          <w:p w:rsidR="006163F0" w:rsidRDefault="006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виробів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024:2023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3F0" w:rsidRDefault="006163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Класифікато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меди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них</w:t>
            </w:r>
          </w:p>
          <w:p w:rsidR="006163F0" w:rsidRDefault="006163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5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виробів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НК 031:2024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3F0" w:rsidRDefault="006163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5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Одиниця</w:t>
            </w:r>
          </w:p>
          <w:p w:rsidR="006163F0" w:rsidRDefault="006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виміру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3F0" w:rsidRDefault="006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6163F0" w:rsidTr="006163F0">
        <w:trPr>
          <w:trHeight w:val="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63F0" w:rsidRDefault="006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bookmarkStart w:id="1" w:name="_Hlk170978925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Рентгенівська флюороскопічна система типу С-дуга</w:t>
            </w:r>
            <w:bookmarkEnd w:id="1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63F0" w:rsidRDefault="006163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37646-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Система флюороскопічна</w:t>
            </w:r>
          </w:p>
          <w:p w:rsidR="006163F0" w:rsidRDefault="006163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рентгенівська загального</w:t>
            </w:r>
          </w:p>
          <w:p w:rsidR="006163F0" w:rsidRDefault="006163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призначення пересувна</w:t>
            </w:r>
          </w:p>
          <w:p w:rsidR="006163F0" w:rsidRDefault="0061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цифрова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spacing w:after="120"/>
              <w:jc w:val="center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Z11039017 Мобільне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устатковання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для радіоскопії</w:t>
            </w:r>
          </w:p>
          <w:p w:rsidR="006163F0" w:rsidRDefault="00616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color w:val="242638"/>
          <w:sz w:val="24"/>
          <w:szCs w:val="24"/>
          <w:shd w:val="clear" w:color="auto" w:fill="F5F5F5"/>
          <w:lang w:val="ru-RU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МЕДИКО-ТЕХНІЧНІ ВИМОГИ</w:t>
      </w:r>
    </w:p>
    <w:tbl>
      <w:tblPr>
        <w:tblW w:w="5386" w:type="pct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5880"/>
        <w:gridCol w:w="2577"/>
        <w:gridCol w:w="2060"/>
      </w:tblGrid>
      <w:tr w:rsidR="006163F0" w:rsidRP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Медико-технічні вимоги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Найменування характеристики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3F0" w:rsidRDefault="0061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Відповідність (ТАК/НІ) з посиланням на сторінку/пункт у відповідній  документації</w:t>
            </w:r>
          </w:p>
        </w:tc>
      </w:tr>
      <w:tr w:rsidR="006163F0" w:rsidRP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/>
                <w:kern w:val="2"/>
              </w:rPr>
            </w:pPr>
            <w:r>
              <w:rPr>
                <w:b/>
                <w:kern w:val="2"/>
              </w:rPr>
              <w:t>1.</w:t>
            </w:r>
          </w:p>
        </w:tc>
        <w:tc>
          <w:tcPr>
            <w:tcW w:w="4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Загальні вимоги до </w:t>
            </w:r>
            <w:r>
              <w:rPr>
                <w:b/>
                <w:kern w:val="2"/>
                <w:lang w:eastAsia="zh-CN"/>
              </w:rPr>
              <w:t>рентгенівської флюороскопічної системи</w:t>
            </w: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Функція сповіщення (індикація) про рентгенівське випромінювання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відповідність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Консоль керування</w:t>
            </w:r>
            <w:r>
              <w:rPr>
                <w:kern w:val="2"/>
              </w:rPr>
              <w:t xml:space="preserve"> </w:t>
            </w:r>
            <w:r>
              <w:rPr>
                <w:bCs/>
                <w:kern w:val="2"/>
              </w:rPr>
              <w:t>з сенсорною панеллю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відповідність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 xml:space="preserve">Розмір сенсорної панелі керування 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менше 10ʺ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</w:p>
        </w:tc>
      </w:tr>
      <w:tr w:rsidR="006163F0" w:rsidTr="006163F0">
        <w:trPr>
          <w:trHeight w:val="532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Два монітори не менше 19ʺ, або один монітор не менше 27 ʺ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Кут огляду монітора (горизонтальний та вертикальний)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менше 178°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Роздільна здатність монітора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менше 1280×1024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Яскравість монітора (типова)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 xml:space="preserve">не менше 350 </w:t>
            </w:r>
            <w:proofErr w:type="spellStart"/>
            <w:r>
              <w:rPr>
                <w:bCs/>
                <w:kern w:val="2"/>
              </w:rPr>
              <w:t>кд</w:t>
            </w:r>
            <w:proofErr w:type="spellEnd"/>
            <w:r>
              <w:rPr>
                <w:bCs/>
                <w:kern w:val="2"/>
              </w:rPr>
              <w:t>/м²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Функція автоматичної стабілізації яскравості (ABC) або режим рентгеноскопії з автоматичним контролем дози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Ручний перемикач для запуску рентгенівського випромінювання (експозиції)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Педальний перемикач для запуску рентгенівського випромінювання (експозиції)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  <w:lang w:val="en-US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  <w:lang w:val="ru-RU"/>
              </w:rPr>
            </w:pPr>
            <w:r>
              <w:rPr>
                <w:bCs/>
                <w:kern w:val="2"/>
              </w:rPr>
              <w:t>Функція безперервної флюороскопії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Функція імпульсної флюороскопії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Функція рентгенографії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kern w:val="2"/>
              </w:rPr>
            </w:pPr>
            <w:r>
              <w:rPr>
                <w:kern w:val="2"/>
              </w:rPr>
              <w:t>Система повинна забезпечувати дозиметричний контроль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rPr>
          <w:trHeight w:val="633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Функція для обробки зображень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Функція для зменшення шуму зображень або режим отримання знімків зі зменшеним рівнем шуму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rPr>
          <w:trHeight w:val="54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kern w:val="2"/>
              </w:rPr>
              <w:t>Функція утримання останнього отриманого зображення (LIH)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  <w:lang w:val="en-US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  <w:lang w:val="ru-RU"/>
              </w:rPr>
            </w:pPr>
            <w:r>
              <w:rPr>
                <w:kern w:val="2"/>
              </w:rPr>
              <w:t>Джерело безперебійного живлення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kern w:val="2"/>
              </w:rPr>
              <w:t>наявність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RP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/>
                <w:kern w:val="2"/>
              </w:rPr>
              <w:t>2.</w:t>
            </w:r>
          </w:p>
        </w:tc>
        <w:tc>
          <w:tcPr>
            <w:tcW w:w="4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/>
                <w:kern w:val="2"/>
              </w:rPr>
              <w:t>Вимоги до С-подібної дуги</w:t>
            </w: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9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Вільний простір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kern w:val="2"/>
              </w:rPr>
              <w:t>не менше 80 см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9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Діапазон вертикального переміщення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 xml:space="preserve">не менше </w:t>
            </w:r>
            <w:r>
              <w:rPr>
                <w:bCs/>
                <w:kern w:val="2"/>
                <w:lang w:val="en-US"/>
              </w:rPr>
              <w:t>45</w:t>
            </w:r>
            <w:r>
              <w:rPr>
                <w:bCs/>
                <w:kern w:val="2"/>
              </w:rPr>
              <w:t xml:space="preserve"> см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9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Діапазон горизонтального переміщення (вперед та назад)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менше 20 см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9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kern w:val="2"/>
              </w:rPr>
              <w:t xml:space="preserve">Кут панорамування (обертання навколо вертикальної осі або </w:t>
            </w:r>
            <w:proofErr w:type="spellStart"/>
            <w:r>
              <w:rPr>
                <w:kern w:val="2"/>
              </w:rPr>
              <w:t>Wig-Wag</w:t>
            </w:r>
            <w:proofErr w:type="spellEnd"/>
            <w:r>
              <w:rPr>
                <w:kern w:val="2"/>
              </w:rPr>
              <w:t>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менше ±12°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9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kern w:val="2"/>
              </w:rPr>
              <w:t>Кут кругового обертання (орбітальне обертання)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kern w:val="2"/>
              </w:rPr>
              <w:t>не менше 150°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9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kern w:val="2"/>
              </w:rPr>
              <w:t>Кут латерального обертання (обертання навколо горизонтальної осі)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kern w:val="2"/>
              </w:rPr>
              <w:t xml:space="preserve">не менше </w:t>
            </w:r>
            <w:r>
              <w:rPr>
                <w:bCs/>
                <w:kern w:val="2"/>
              </w:rPr>
              <w:t>±</w:t>
            </w:r>
            <w:r>
              <w:rPr>
                <w:kern w:val="2"/>
              </w:rPr>
              <w:t>210°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29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kern w:val="2"/>
              </w:rPr>
              <w:t>Глибина дуги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kern w:val="2"/>
              </w:rPr>
              <w:t>не менше 70 см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/>
                <w:kern w:val="2"/>
              </w:rPr>
            </w:pPr>
            <w:r>
              <w:rPr>
                <w:b/>
                <w:kern w:val="2"/>
              </w:rPr>
              <w:t>3.</w:t>
            </w:r>
          </w:p>
        </w:tc>
        <w:tc>
          <w:tcPr>
            <w:tcW w:w="4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/>
                <w:kern w:val="2"/>
              </w:rPr>
              <w:t>Вимоги до рентгенівського генератора:</w:t>
            </w: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0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 xml:space="preserve">Частота генератора 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 xml:space="preserve">не менше 40 </w:t>
            </w:r>
            <w:proofErr w:type="spellStart"/>
            <w:r>
              <w:rPr>
                <w:bCs/>
                <w:kern w:val="2"/>
              </w:rPr>
              <w:t>кГц</w:t>
            </w:r>
            <w:proofErr w:type="spell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0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Потужність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менше 5 кВт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RP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0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Діапазон напруги (кВ)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kern w:val="2"/>
              </w:rPr>
              <w:t>в діапазоні не вужче</w:t>
            </w:r>
            <w:r>
              <w:rPr>
                <w:bCs/>
                <w:kern w:val="2"/>
              </w:rPr>
              <w:t xml:space="preserve"> ніж від 40 до 120 кВ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RP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0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 xml:space="preserve">Максимальна частота </w:t>
            </w:r>
            <w:proofErr w:type="spellStart"/>
            <w:r>
              <w:rPr>
                <w:bCs/>
                <w:kern w:val="2"/>
              </w:rPr>
              <w:t>іпмульсів</w:t>
            </w:r>
            <w:proofErr w:type="spellEnd"/>
            <w:r>
              <w:rPr>
                <w:bCs/>
                <w:kern w:val="2"/>
              </w:rPr>
              <w:t xml:space="preserve"> (кількість імпульсів)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kern w:val="2"/>
              </w:rPr>
              <w:t>не менше 25</w:t>
            </w:r>
            <w:r>
              <w:rPr>
                <w:bCs/>
                <w:kern w:val="2"/>
              </w:rPr>
              <w:t xml:space="preserve"> кадрів/</w:t>
            </w:r>
            <w:proofErr w:type="spellStart"/>
            <w:r>
              <w:rPr>
                <w:bCs/>
                <w:kern w:val="2"/>
              </w:rPr>
              <w:t>сек</w:t>
            </w:r>
            <w:proofErr w:type="spellEnd"/>
            <w:r>
              <w:rPr>
                <w:bCs/>
                <w:kern w:val="2"/>
              </w:rPr>
              <w:t xml:space="preserve"> (</w:t>
            </w:r>
            <w:proofErr w:type="spellStart"/>
            <w:r>
              <w:rPr>
                <w:bCs/>
                <w:kern w:val="2"/>
              </w:rPr>
              <w:t>fps</w:t>
            </w:r>
            <w:proofErr w:type="spellEnd"/>
            <w:r>
              <w:rPr>
                <w:bCs/>
                <w:kern w:val="2"/>
              </w:rPr>
              <w:t>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0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Максимальний струм (</w:t>
            </w:r>
            <w:proofErr w:type="spellStart"/>
            <w:r>
              <w:rPr>
                <w:bCs/>
                <w:kern w:val="2"/>
              </w:rPr>
              <w:t>мА</w:t>
            </w:r>
            <w:proofErr w:type="spellEnd"/>
            <w:r>
              <w:rPr>
                <w:bCs/>
                <w:kern w:val="2"/>
              </w:rPr>
              <w:t>) при безперервній флюороскопії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kern w:val="2"/>
              </w:rPr>
              <w:t xml:space="preserve">не менше 5 </w:t>
            </w:r>
            <w:proofErr w:type="spellStart"/>
            <w:r>
              <w:rPr>
                <w:kern w:val="2"/>
              </w:rPr>
              <w:t>мА</w:t>
            </w:r>
            <w:proofErr w:type="spell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0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Максимальний струм (</w:t>
            </w:r>
            <w:proofErr w:type="spellStart"/>
            <w:r>
              <w:rPr>
                <w:bCs/>
                <w:kern w:val="2"/>
              </w:rPr>
              <w:t>мА</w:t>
            </w:r>
            <w:proofErr w:type="spellEnd"/>
            <w:r>
              <w:rPr>
                <w:bCs/>
                <w:kern w:val="2"/>
              </w:rPr>
              <w:t>) при рентгенографії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kern w:val="2"/>
              </w:rPr>
              <w:t xml:space="preserve">не менше 50 </w:t>
            </w:r>
            <w:proofErr w:type="spellStart"/>
            <w:r>
              <w:rPr>
                <w:kern w:val="2"/>
              </w:rPr>
              <w:t>мА</w:t>
            </w:r>
            <w:proofErr w:type="spell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/>
                <w:kern w:val="2"/>
              </w:rPr>
            </w:pPr>
            <w:r>
              <w:rPr>
                <w:b/>
                <w:kern w:val="2"/>
              </w:rPr>
              <w:t>4.</w:t>
            </w:r>
          </w:p>
        </w:tc>
        <w:tc>
          <w:tcPr>
            <w:tcW w:w="4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/>
                <w:kern w:val="2"/>
              </w:rPr>
              <w:t>Вимоги до рентгенівського випромінювача:</w:t>
            </w: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Трубка з обертовим анодом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відповідність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Кут нахилу анода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менше 10°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Велика фокусна пляма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більше 0,6мм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Мала фокусна пляма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більше 0,3мм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Теплоємність аноду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 xml:space="preserve">не менше 200 </w:t>
            </w:r>
            <w:proofErr w:type="spellStart"/>
            <w:r>
              <w:rPr>
                <w:bCs/>
                <w:kern w:val="2"/>
              </w:rPr>
              <w:t>кТО</w:t>
            </w:r>
            <w:proofErr w:type="spellEnd"/>
            <w:r>
              <w:rPr>
                <w:bCs/>
                <w:kern w:val="2"/>
              </w:rPr>
              <w:t xml:space="preserve"> (</w:t>
            </w:r>
            <w:proofErr w:type="spellStart"/>
            <w:r>
              <w:rPr>
                <w:bCs/>
                <w:kern w:val="2"/>
              </w:rPr>
              <w:t>kHU</w:t>
            </w:r>
            <w:proofErr w:type="spellEnd"/>
            <w:r>
              <w:rPr>
                <w:bCs/>
                <w:kern w:val="2"/>
              </w:rPr>
              <w:t>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/>
                <w:kern w:val="2"/>
              </w:rPr>
            </w:pPr>
            <w:r>
              <w:rPr>
                <w:b/>
                <w:kern w:val="2"/>
              </w:rPr>
              <w:t>5.</w:t>
            </w:r>
          </w:p>
        </w:tc>
        <w:tc>
          <w:tcPr>
            <w:tcW w:w="4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/>
                <w:kern w:val="2"/>
              </w:rPr>
              <w:t>Вимоги до детектора:</w:t>
            </w: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bCs/>
                <w:kern w:val="2"/>
              </w:rPr>
            </w:pPr>
            <w:r>
              <w:rPr>
                <w:bCs/>
                <w:kern w:val="2"/>
              </w:rPr>
              <w:t>Активна площа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не менше 210×210 мм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kern w:val="2"/>
              </w:rPr>
            </w:pPr>
            <w:r>
              <w:rPr>
                <w:kern w:val="2"/>
              </w:rPr>
              <w:t>Кількість пікселів (Матриця)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kern w:val="2"/>
              </w:rPr>
            </w:pPr>
            <w:r>
              <w:rPr>
                <w:kern w:val="2"/>
              </w:rPr>
              <w:t>не менше 1024×1024 пікселів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kern w:val="2"/>
              </w:rPr>
            </w:pPr>
            <w:proofErr w:type="spellStart"/>
            <w:r>
              <w:rPr>
                <w:kern w:val="2"/>
              </w:rPr>
              <w:t>Плоскопанельний</w:t>
            </w:r>
            <w:proofErr w:type="spellEnd"/>
            <w:r>
              <w:rPr>
                <w:kern w:val="2"/>
              </w:rPr>
              <w:t xml:space="preserve"> детектор на основі аморфного кремнію (a-</w:t>
            </w:r>
            <w:proofErr w:type="spellStart"/>
            <w:r>
              <w:rPr>
                <w:kern w:val="2"/>
              </w:rPr>
              <w:t>Si</w:t>
            </w:r>
            <w:proofErr w:type="spellEnd"/>
            <w:r>
              <w:rPr>
                <w:kern w:val="2"/>
              </w:rPr>
              <w:t>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kern w:val="2"/>
              </w:rPr>
            </w:pPr>
            <w:r>
              <w:rPr>
                <w:kern w:val="2"/>
              </w:rPr>
              <w:t>відповідність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kern w:val="2"/>
              </w:rPr>
            </w:pPr>
            <w:r>
              <w:rPr>
                <w:kern w:val="2"/>
              </w:rPr>
              <w:t>Детективна квантова ефективність (DQE) @ 0.0 ліній/мм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kern w:val="2"/>
              </w:rPr>
            </w:pPr>
            <w:r>
              <w:rPr>
                <w:kern w:val="2"/>
              </w:rPr>
              <w:t>не менше 75%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  <w:tr w:rsidR="006163F0" w:rsidTr="006163F0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3F0" w:rsidRDefault="006163F0" w:rsidP="006163F0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bCs/>
                <w:kern w:val="2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9"/>
              <w:rPr>
                <w:kern w:val="2"/>
              </w:rPr>
            </w:pPr>
            <w:r>
              <w:rPr>
                <w:kern w:val="2"/>
              </w:rPr>
              <w:t>Детективна квантова ефективність (DQE) @ 2.0 ліній/мм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3F0" w:rsidRDefault="006163F0">
            <w:pPr>
              <w:pStyle w:val="a5"/>
              <w:ind w:left="0"/>
              <w:jc w:val="both"/>
              <w:rPr>
                <w:kern w:val="2"/>
              </w:rPr>
            </w:pPr>
            <w:r>
              <w:rPr>
                <w:kern w:val="2"/>
              </w:rPr>
              <w:t>не менше 39%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F0" w:rsidRDefault="006163F0">
            <w:pPr>
              <w:pStyle w:val="a5"/>
              <w:ind w:left="0"/>
              <w:rPr>
                <w:bCs/>
                <w:kern w:val="2"/>
              </w:rPr>
            </w:pPr>
          </w:p>
        </w:tc>
      </w:tr>
    </w:tbl>
    <w:p w:rsidR="006163F0" w:rsidRDefault="006163F0" w:rsidP="00B15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163F0" w:rsidSect="00F82954">
      <w:footerReference w:type="default" r:id="rId7"/>
      <w:pgSz w:w="12240" w:h="15840"/>
      <w:pgMar w:top="426" w:right="61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88F" w:rsidRDefault="0059288F" w:rsidP="00B2669C">
      <w:pPr>
        <w:spacing w:after="0" w:line="240" w:lineRule="auto"/>
      </w:pPr>
      <w:r>
        <w:separator/>
      </w:r>
    </w:p>
  </w:endnote>
  <w:endnote w:type="continuationSeparator" w:id="0">
    <w:p w:rsidR="0059288F" w:rsidRDefault="0059288F" w:rsidP="00B2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krainianBalt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9723575"/>
      <w:docPartObj>
        <w:docPartGallery w:val="Page Numbers (Bottom of Page)"/>
        <w:docPartUnique/>
      </w:docPartObj>
    </w:sdtPr>
    <w:sdtEndPr/>
    <w:sdtContent>
      <w:p w:rsidR="008E2BE9" w:rsidRDefault="008E2BE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495" w:rsidRPr="00B75495">
          <w:rPr>
            <w:noProof/>
            <w:lang w:val="ru-RU"/>
          </w:rPr>
          <w:t>2</w:t>
        </w:r>
        <w:r>
          <w:fldChar w:fldCharType="end"/>
        </w:r>
      </w:p>
    </w:sdtContent>
  </w:sdt>
  <w:p w:rsidR="008E2BE9" w:rsidRDefault="008E2BE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88F" w:rsidRDefault="0059288F" w:rsidP="00B2669C">
      <w:pPr>
        <w:spacing w:after="0" w:line="240" w:lineRule="auto"/>
      </w:pPr>
      <w:r>
        <w:separator/>
      </w:r>
    </w:p>
  </w:footnote>
  <w:footnote w:type="continuationSeparator" w:id="0">
    <w:p w:rsidR="0059288F" w:rsidRDefault="0059288F" w:rsidP="00B2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E26F8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1D3138"/>
    <w:multiLevelType w:val="hybridMultilevel"/>
    <w:tmpl w:val="1E144D5A"/>
    <w:lvl w:ilvl="0" w:tplc="5862266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40304"/>
    <w:multiLevelType w:val="hybridMultilevel"/>
    <w:tmpl w:val="B420B2DC"/>
    <w:lvl w:ilvl="0" w:tplc="CA583ED6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874E0"/>
    <w:multiLevelType w:val="hybridMultilevel"/>
    <w:tmpl w:val="B71C4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B4366"/>
    <w:multiLevelType w:val="multilevel"/>
    <w:tmpl w:val="A104C736"/>
    <w:lvl w:ilvl="0">
      <w:start w:val="1"/>
      <w:numFmt w:val="decimal"/>
      <w:suff w:val="nothing"/>
      <w:lvlText w:val="%1."/>
      <w:lvlJc w:val="center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F2523BA"/>
    <w:multiLevelType w:val="hybridMultilevel"/>
    <w:tmpl w:val="464C39A0"/>
    <w:lvl w:ilvl="0" w:tplc="65D03E6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0CE3"/>
    <w:multiLevelType w:val="hybridMultilevel"/>
    <w:tmpl w:val="F1E46798"/>
    <w:lvl w:ilvl="0" w:tplc="CFBCEA24">
      <w:start w:val="1"/>
      <w:numFmt w:val="decimal"/>
      <w:lvlText w:val="%1)"/>
      <w:lvlJc w:val="left"/>
      <w:pPr>
        <w:ind w:left="360" w:hanging="360"/>
      </w:pPr>
      <w:rPr>
        <w:i w:val="0"/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41E8A"/>
    <w:multiLevelType w:val="multilevel"/>
    <w:tmpl w:val="8E2CC3E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1156F3"/>
    <w:multiLevelType w:val="multilevel"/>
    <w:tmpl w:val="EEC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2A5D09"/>
    <w:multiLevelType w:val="hybridMultilevel"/>
    <w:tmpl w:val="CD70E212"/>
    <w:lvl w:ilvl="0" w:tplc="7680961E">
      <w:start w:val="1"/>
      <w:numFmt w:val="decimal"/>
      <w:lvlText w:val="3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A6157"/>
    <w:multiLevelType w:val="hybridMultilevel"/>
    <w:tmpl w:val="FF786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14010"/>
    <w:multiLevelType w:val="hybridMultilevel"/>
    <w:tmpl w:val="FF786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C6BD5"/>
    <w:multiLevelType w:val="hybridMultilevel"/>
    <w:tmpl w:val="48FEAC70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73425"/>
    <w:multiLevelType w:val="hybridMultilevel"/>
    <w:tmpl w:val="B07CFB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52566"/>
    <w:multiLevelType w:val="hybridMultilevel"/>
    <w:tmpl w:val="9E8615BE"/>
    <w:lvl w:ilvl="0" w:tplc="1C6E0F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265A1"/>
    <w:multiLevelType w:val="hybridMultilevel"/>
    <w:tmpl w:val="49827A6A"/>
    <w:lvl w:ilvl="0" w:tplc="FB048F1E">
      <w:start w:val="1"/>
      <w:numFmt w:val="decimal"/>
      <w:lvlText w:val="1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D7861A8"/>
    <w:multiLevelType w:val="hybridMultilevel"/>
    <w:tmpl w:val="61D6E69A"/>
    <w:lvl w:ilvl="0" w:tplc="A7E8EE32">
      <w:start w:val="1"/>
      <w:numFmt w:val="decimal"/>
      <w:lvlText w:val="4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D6337"/>
    <w:multiLevelType w:val="hybridMultilevel"/>
    <w:tmpl w:val="1B6A175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11CB5"/>
    <w:multiLevelType w:val="hybridMultilevel"/>
    <w:tmpl w:val="FA785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0B3BD8"/>
    <w:multiLevelType w:val="hybridMultilevel"/>
    <w:tmpl w:val="151E630C"/>
    <w:lvl w:ilvl="0" w:tplc="3B7EE3A8">
      <w:start w:val="1"/>
      <w:numFmt w:val="decimal"/>
      <w:lvlText w:val="5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571C8"/>
    <w:multiLevelType w:val="hybridMultilevel"/>
    <w:tmpl w:val="D5FE3150"/>
    <w:lvl w:ilvl="0" w:tplc="147AEB1A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A4419E8"/>
    <w:multiLevelType w:val="hybridMultilevel"/>
    <w:tmpl w:val="16F2873C"/>
    <w:lvl w:ilvl="0" w:tplc="CA583ED6">
      <w:start w:val="1"/>
      <w:numFmt w:val="bullet"/>
      <w:lvlText w:val="-"/>
      <w:lvlJc w:val="left"/>
      <w:pPr>
        <w:ind w:left="1003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60CE7B65"/>
    <w:multiLevelType w:val="hybridMultilevel"/>
    <w:tmpl w:val="2EF8578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9B4CEB"/>
    <w:multiLevelType w:val="hybridMultilevel"/>
    <w:tmpl w:val="15FEF54A"/>
    <w:lvl w:ilvl="0" w:tplc="CA583ED6">
      <w:start w:val="1"/>
      <w:numFmt w:val="bullet"/>
      <w:lvlText w:val="-"/>
      <w:lvlJc w:val="left"/>
      <w:pPr>
        <w:ind w:left="1069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6B2A7920"/>
    <w:multiLevelType w:val="hybridMultilevel"/>
    <w:tmpl w:val="A084924E"/>
    <w:lvl w:ilvl="0" w:tplc="624EE52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17183"/>
    <w:multiLevelType w:val="multilevel"/>
    <w:tmpl w:val="74717183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84334A"/>
    <w:multiLevelType w:val="hybridMultilevel"/>
    <w:tmpl w:val="BF6AD2A2"/>
    <w:lvl w:ilvl="0" w:tplc="F13C4704">
      <w:start w:val="1"/>
      <w:numFmt w:val="decimal"/>
      <w:lvlText w:val="2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614E8"/>
    <w:multiLevelType w:val="hybridMultilevel"/>
    <w:tmpl w:val="A0905DD6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36EEA6EE">
      <w:start w:val="3"/>
      <w:numFmt w:val="bullet"/>
      <w:lvlText w:val="•"/>
      <w:lvlJc w:val="left"/>
      <w:pPr>
        <w:ind w:left="1800" w:hanging="72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34476"/>
    <w:multiLevelType w:val="hybridMultilevel"/>
    <w:tmpl w:val="2E9C66CC"/>
    <w:lvl w:ilvl="0" w:tplc="CA583ED6">
      <w:start w:val="1"/>
      <w:numFmt w:val="bullet"/>
      <w:lvlText w:val="-"/>
      <w:lvlJc w:val="left"/>
      <w:pPr>
        <w:ind w:left="1069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7ECF1B47"/>
    <w:multiLevelType w:val="hybridMultilevel"/>
    <w:tmpl w:val="6BD420F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0"/>
  </w:num>
  <w:num w:numId="7">
    <w:abstractNumId w:val="11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26"/>
  </w:num>
  <w:num w:numId="14">
    <w:abstractNumId w:val="14"/>
  </w:num>
  <w:num w:numId="15">
    <w:abstractNumId w:val="1"/>
  </w:num>
  <w:num w:numId="16">
    <w:abstractNumId w:val="0"/>
  </w:num>
  <w:num w:numId="17">
    <w:abstractNumId w:val="23"/>
  </w:num>
  <w:num w:numId="18">
    <w:abstractNumId w:val="12"/>
  </w:num>
  <w:num w:numId="19">
    <w:abstractNumId w:val="22"/>
  </w:num>
  <w:num w:numId="20">
    <w:abstractNumId w:val="28"/>
  </w:num>
  <w:num w:numId="21">
    <w:abstractNumId w:val="2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24"/>
  </w:num>
  <w:num w:numId="25">
    <w:abstractNumId w:val="5"/>
  </w:num>
  <w:num w:numId="26">
    <w:abstractNumId w:val="30"/>
  </w:num>
  <w:num w:numId="27">
    <w:abstractNumId w:val="18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5D"/>
    <w:rsid w:val="00025D92"/>
    <w:rsid w:val="000B74D1"/>
    <w:rsid w:val="000E2148"/>
    <w:rsid w:val="0010086B"/>
    <w:rsid w:val="0019709B"/>
    <w:rsid w:val="001A1400"/>
    <w:rsid w:val="0020465D"/>
    <w:rsid w:val="00213167"/>
    <w:rsid w:val="00285815"/>
    <w:rsid w:val="002A7016"/>
    <w:rsid w:val="002C2C50"/>
    <w:rsid w:val="002F232C"/>
    <w:rsid w:val="00340330"/>
    <w:rsid w:val="003E1E85"/>
    <w:rsid w:val="00407862"/>
    <w:rsid w:val="00440BD3"/>
    <w:rsid w:val="00454B35"/>
    <w:rsid w:val="004A4D45"/>
    <w:rsid w:val="004B0B55"/>
    <w:rsid w:val="004F2E8F"/>
    <w:rsid w:val="0050135A"/>
    <w:rsid w:val="005318F7"/>
    <w:rsid w:val="0059288F"/>
    <w:rsid w:val="005B1D1D"/>
    <w:rsid w:val="006163F0"/>
    <w:rsid w:val="00620049"/>
    <w:rsid w:val="006259B0"/>
    <w:rsid w:val="00685943"/>
    <w:rsid w:val="00753707"/>
    <w:rsid w:val="00764342"/>
    <w:rsid w:val="007666A4"/>
    <w:rsid w:val="00767E93"/>
    <w:rsid w:val="007776FF"/>
    <w:rsid w:val="007A660F"/>
    <w:rsid w:val="007C5018"/>
    <w:rsid w:val="007F1E6A"/>
    <w:rsid w:val="00802D2F"/>
    <w:rsid w:val="00863C02"/>
    <w:rsid w:val="00874056"/>
    <w:rsid w:val="00884FEA"/>
    <w:rsid w:val="008D74A3"/>
    <w:rsid w:val="008E2BE9"/>
    <w:rsid w:val="00971542"/>
    <w:rsid w:val="00983653"/>
    <w:rsid w:val="00A4391B"/>
    <w:rsid w:val="00A47D6D"/>
    <w:rsid w:val="00A66434"/>
    <w:rsid w:val="00A765A3"/>
    <w:rsid w:val="00B155B4"/>
    <w:rsid w:val="00B2669C"/>
    <w:rsid w:val="00B325D2"/>
    <w:rsid w:val="00B5408F"/>
    <w:rsid w:val="00B75495"/>
    <w:rsid w:val="00B85B3D"/>
    <w:rsid w:val="00BD0638"/>
    <w:rsid w:val="00BD3679"/>
    <w:rsid w:val="00BF029D"/>
    <w:rsid w:val="00CE7B87"/>
    <w:rsid w:val="00D84E68"/>
    <w:rsid w:val="00DC7728"/>
    <w:rsid w:val="00E42D5E"/>
    <w:rsid w:val="00E46C90"/>
    <w:rsid w:val="00E94E40"/>
    <w:rsid w:val="00E953F9"/>
    <w:rsid w:val="00EB5AE2"/>
    <w:rsid w:val="00ED73B3"/>
    <w:rsid w:val="00EE5CF1"/>
    <w:rsid w:val="00F62157"/>
    <w:rsid w:val="00F82954"/>
    <w:rsid w:val="00FA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20C8C"/>
  <w15:chartTrackingRefBased/>
  <w15:docId w15:val="{E9028B4D-29D4-4787-8EC4-EB0D3F89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7016"/>
    <w:pPr>
      <w:spacing w:line="256" w:lineRule="auto"/>
    </w:pPr>
    <w:rPr>
      <w:lang w:val="uk-UA"/>
    </w:rPr>
  </w:style>
  <w:style w:type="paragraph" w:styleId="1">
    <w:name w:val="heading 1"/>
    <w:basedOn w:val="a0"/>
    <w:next w:val="a0"/>
    <w:link w:val="10"/>
    <w:uiPriority w:val="9"/>
    <w:qFormat/>
    <w:rsid w:val="00D84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213167"/>
    <w:pPr>
      <w:keepNext/>
      <w:widowControl w:val="0"/>
      <w:spacing w:before="240" w:after="60" w:line="240" w:lineRule="auto"/>
      <w:ind w:left="1416" w:hanging="708"/>
      <w:outlineLvl w:val="1"/>
    </w:pPr>
    <w:rPr>
      <w:rFonts w:ascii="Arial Rounded MT Bold" w:eastAsia="Times New Roman" w:hAnsi="Arial Rounded MT Bold" w:cs="Times New Roman"/>
      <w:b/>
      <w:i/>
      <w:sz w:val="24"/>
      <w:szCs w:val="20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163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163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ng-binding">
    <w:name w:val="ng-binding"/>
    <w:rsid w:val="002A7016"/>
    <w:rPr>
      <w:rFonts w:ascii="Times New Roman" w:hAnsi="Times New Roman" w:cs="Times New Roman" w:hint="default"/>
    </w:rPr>
  </w:style>
  <w:style w:type="table" w:styleId="a4">
    <w:name w:val="Table Grid"/>
    <w:basedOn w:val="a2"/>
    <w:uiPriority w:val="59"/>
    <w:rsid w:val="002A7016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Текст таблицы,AC List 01,Bullet Number,Bullet 1,Use Case List Paragraph,lp1,lp11,List Paragraph11,тв-Абзац списка,Абзац списку 1,название табл/рис,заголовок 1.1,List Paragraph (numbered (a)),List_Paragraph,Multilevel para_II,Elenco Normale"/>
    <w:basedOn w:val="a0"/>
    <w:link w:val="a6"/>
    <w:uiPriority w:val="34"/>
    <w:qFormat/>
    <w:rsid w:val="004F2E8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rial3">
    <w:name w:val="Основной текст + Arial3"/>
    <w:aliases w:val="7,5 pt3"/>
    <w:rsid w:val="007776FF"/>
    <w:rPr>
      <w:rFonts w:ascii="Arial" w:hAnsi="Arial" w:cs="Arial" w:hint="default"/>
      <w:b/>
      <w:bCs w:val="0"/>
      <w:color w:val="000000"/>
      <w:sz w:val="15"/>
      <w:shd w:val="clear" w:color="auto" w:fill="FFFFFF"/>
      <w:lang w:val="uk-UA" w:eastAsia="uk-UA"/>
    </w:rPr>
  </w:style>
  <w:style w:type="paragraph" w:styleId="a7">
    <w:name w:val="Normal (Web)"/>
    <w:aliases w:val="Знак2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,Знак17"/>
    <w:basedOn w:val="a0"/>
    <w:link w:val="a8"/>
    <w:semiHidden/>
    <w:unhideWhenUsed/>
    <w:qFormat/>
    <w:rsid w:val="00BD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0"/>
    <w:link w:val="HTML0"/>
    <w:uiPriority w:val="99"/>
    <w:semiHidden/>
    <w:unhideWhenUsed/>
    <w:rsid w:val="000E2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color w:val="000000"/>
      <w:sz w:val="18"/>
      <w:szCs w:val="18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E2148"/>
    <w:rPr>
      <w:rFonts w:ascii="Courier New" w:eastAsia="Calibri" w:hAnsi="Courier New" w:cs="Times New Roman"/>
      <w:color w:val="000000"/>
      <w:sz w:val="18"/>
      <w:szCs w:val="18"/>
      <w:lang w:val="ru-RU" w:eastAsia="zh-CN"/>
    </w:rPr>
  </w:style>
  <w:style w:type="character" w:customStyle="1" w:styleId="a6">
    <w:name w:val="Абзац списка Знак"/>
    <w:aliases w:val="Текст таблицы Знак,AC List 01 Знак,Bullet Number Знак,Bullet 1 Знак,Use Case List Paragraph Знак,lp1 Знак,lp11 Знак,List Paragraph11 Знак,тв-Абзац списка Знак,Абзац списку 1 Знак,название табл/рис Знак,заголовок 1.1 Знак"/>
    <w:link w:val="a5"/>
    <w:uiPriority w:val="34"/>
    <w:qFormat/>
    <w:locked/>
    <w:rsid w:val="000E2148"/>
    <w:rPr>
      <w:rFonts w:ascii="Calibri" w:eastAsia="Times New Roman" w:hAnsi="Calibri" w:cs="Times New Roman"/>
      <w:lang w:val="uk-UA"/>
    </w:rPr>
  </w:style>
  <w:style w:type="character" w:customStyle="1" w:styleId="20">
    <w:name w:val="Заголовок 2 Знак"/>
    <w:basedOn w:val="a1"/>
    <w:link w:val="2"/>
    <w:semiHidden/>
    <w:rsid w:val="00213167"/>
    <w:rPr>
      <w:rFonts w:ascii="Arial Rounded MT Bold" w:eastAsia="Times New Roman" w:hAnsi="Arial Rounded MT Bold" w:cs="Times New Roman"/>
      <w:b/>
      <w:i/>
      <w:sz w:val="24"/>
      <w:szCs w:val="20"/>
      <w:lang w:val="uk-UA" w:eastAsia="ru-RU"/>
    </w:rPr>
  </w:style>
  <w:style w:type="character" w:customStyle="1" w:styleId="a8">
    <w:name w:val="Обычный (веб) Знак"/>
    <w:aliases w:val="Знак2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,Знак17 Знак"/>
    <w:link w:val="a7"/>
    <w:semiHidden/>
    <w:qFormat/>
    <w:locked/>
    <w:rsid w:val="00B325D2"/>
    <w:rPr>
      <w:rFonts w:ascii="Times New Roman" w:eastAsia="Times New Roman" w:hAnsi="Times New Roman" w:cs="Times New Roman"/>
      <w:sz w:val="24"/>
      <w:szCs w:val="24"/>
    </w:rPr>
  </w:style>
  <w:style w:type="table" w:customStyle="1" w:styleId="21">
    <w:name w:val="Сітка таблиці2"/>
    <w:basedOn w:val="a2"/>
    <w:uiPriority w:val="59"/>
    <w:rsid w:val="00025D92"/>
    <w:pPr>
      <w:spacing w:after="0" w:line="240" w:lineRule="auto"/>
    </w:pPr>
    <w:rPr>
      <w:rFonts w:ascii="Calibri" w:eastAsia="Calibri" w:hAnsi="Calibri" w:cs="Times New Roman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ітка таблиці3"/>
    <w:basedOn w:val="a2"/>
    <w:uiPriority w:val="59"/>
    <w:rsid w:val="00025D92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B2669C"/>
    <w:rPr>
      <w:color w:val="0563C1" w:themeColor="hyperlink"/>
      <w:u w:val="single"/>
    </w:rPr>
  </w:style>
  <w:style w:type="character" w:styleId="aa">
    <w:name w:val="line number"/>
    <w:basedOn w:val="a1"/>
    <w:uiPriority w:val="99"/>
    <w:semiHidden/>
    <w:unhideWhenUsed/>
    <w:rsid w:val="00B2669C"/>
  </w:style>
  <w:style w:type="paragraph" w:styleId="ab">
    <w:name w:val="header"/>
    <w:basedOn w:val="a0"/>
    <w:link w:val="ac"/>
    <w:uiPriority w:val="99"/>
    <w:unhideWhenUsed/>
    <w:rsid w:val="00B266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B2669C"/>
    <w:rPr>
      <w:lang w:val="uk-UA"/>
    </w:rPr>
  </w:style>
  <w:style w:type="paragraph" w:styleId="ad">
    <w:name w:val="footer"/>
    <w:basedOn w:val="a0"/>
    <w:link w:val="ae"/>
    <w:uiPriority w:val="99"/>
    <w:unhideWhenUsed/>
    <w:rsid w:val="00B266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B2669C"/>
    <w:rPr>
      <w:lang w:val="uk-UA"/>
    </w:rPr>
  </w:style>
  <w:style w:type="paragraph" w:customStyle="1" w:styleId="contract">
    <w:name w:val="contract"/>
    <w:basedOn w:val="a0"/>
    <w:qFormat/>
    <w:rsid w:val="00440BD3"/>
    <w:pPr>
      <w:spacing w:after="0" w:line="300" w:lineRule="exact"/>
      <w:jc w:val="both"/>
    </w:pPr>
    <w:rPr>
      <w:rFonts w:ascii="UkrainianBaltica" w:eastAsia="Times New Roman" w:hAnsi="UkrainianBaltica" w:cs="Times New Roman"/>
      <w:sz w:val="24"/>
      <w:szCs w:val="20"/>
      <w:lang w:val="ru-RU" w:eastAsia="ru-RU"/>
    </w:rPr>
  </w:style>
  <w:style w:type="character" w:styleId="af">
    <w:name w:val="Strong"/>
    <w:basedOn w:val="a1"/>
    <w:uiPriority w:val="22"/>
    <w:qFormat/>
    <w:rsid w:val="002C2C50"/>
    <w:rPr>
      <w:b/>
      <w:bCs/>
    </w:rPr>
  </w:style>
  <w:style w:type="table" w:customStyle="1" w:styleId="5">
    <w:name w:val="Сітка таблиці5"/>
    <w:basedOn w:val="a2"/>
    <w:uiPriority w:val="59"/>
    <w:rsid w:val="008E2BE9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ітка таблиці6"/>
    <w:basedOn w:val="a2"/>
    <w:uiPriority w:val="39"/>
    <w:rsid w:val="008E2BE9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2"/>
    <w:uiPriority w:val="39"/>
    <w:rsid w:val="008E2B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ps">
    <w:name w:val="hps"/>
    <w:rsid w:val="00EE5CF1"/>
  </w:style>
  <w:style w:type="character" w:customStyle="1" w:styleId="10">
    <w:name w:val="Заголовок 1 Знак"/>
    <w:basedOn w:val="a1"/>
    <w:link w:val="1"/>
    <w:uiPriority w:val="9"/>
    <w:rsid w:val="00D84E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character" w:customStyle="1" w:styleId="23">
    <w:name w:val="Основной текст (2)_"/>
    <w:basedOn w:val="a1"/>
    <w:link w:val="24"/>
    <w:locked/>
    <w:rsid w:val="00DC7728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DC7728"/>
    <w:pPr>
      <w:widowControl w:val="0"/>
      <w:shd w:val="clear" w:color="auto" w:fill="FFFFFF"/>
      <w:spacing w:after="720" w:line="0" w:lineRule="atLeast"/>
      <w:jc w:val="center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af0">
    <w:name w:val="a"/>
    <w:basedOn w:val="a1"/>
    <w:rsid w:val="00DC7728"/>
  </w:style>
  <w:style w:type="character" w:customStyle="1" w:styleId="hidden-print">
    <w:name w:val="hidden-print"/>
    <w:basedOn w:val="a1"/>
    <w:rsid w:val="00DC7728"/>
  </w:style>
  <w:style w:type="paragraph" w:styleId="a">
    <w:name w:val="List Bullet"/>
    <w:basedOn w:val="a0"/>
    <w:uiPriority w:val="99"/>
    <w:semiHidden/>
    <w:unhideWhenUsed/>
    <w:rsid w:val="00EB5AE2"/>
    <w:pPr>
      <w:numPr>
        <w:numId w:val="16"/>
      </w:numPr>
      <w:spacing w:after="200" w:line="276" w:lineRule="auto"/>
      <w:contextualSpacing/>
    </w:pPr>
    <w:rPr>
      <w:rFonts w:eastAsiaTheme="minorEastAsia"/>
      <w:lang w:val="en-US"/>
    </w:rPr>
  </w:style>
  <w:style w:type="character" w:customStyle="1" w:styleId="app-pricecurrency">
    <w:name w:val="app-price__currency"/>
    <w:basedOn w:val="a1"/>
    <w:rsid w:val="00B155B4"/>
  </w:style>
  <w:style w:type="character" w:customStyle="1" w:styleId="30">
    <w:name w:val="Заголовок 3 Знак"/>
    <w:basedOn w:val="a1"/>
    <w:link w:val="3"/>
    <w:uiPriority w:val="9"/>
    <w:semiHidden/>
    <w:rsid w:val="006163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customStyle="1" w:styleId="60">
    <w:name w:val="Заголовок 6 Знак"/>
    <w:basedOn w:val="a1"/>
    <w:link w:val="6"/>
    <w:uiPriority w:val="9"/>
    <w:semiHidden/>
    <w:rsid w:val="006163F0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character" w:customStyle="1" w:styleId="pz-key-valuetitle-box">
    <w:name w:val="pz-key-value__title-box"/>
    <w:basedOn w:val="a1"/>
    <w:rsid w:val="00616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06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6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cp:keywords/>
  <dc:description/>
  <cp:lastModifiedBy>Huginn</cp:lastModifiedBy>
  <cp:revision>6</cp:revision>
  <dcterms:created xsi:type="dcterms:W3CDTF">2026-09-18T14:12:00Z</dcterms:created>
  <dcterms:modified xsi:type="dcterms:W3CDTF">2026-09-23T12:09:00Z</dcterms:modified>
</cp:coreProperties>
</file>